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480" w:lineRule="auto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hpqptedgmk3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Meadowbrook Heights HOA</w:t>
      </w:r>
    </w:p>
    <w:p w:rsidR="00000000" w:rsidDel="00000000" w:rsidP="00000000" w:rsidRDefault="00000000" w:rsidRPr="00000000" w14:paraId="00000002">
      <w:pPr>
        <w:pStyle w:val="Heading2"/>
        <w:spacing w:after="80" w:before="360" w:lineRule="auto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t9fzoebbzme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Board of Directors Meeting Minutes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April 9, 2026</w:t>
        <w:br w:type="textWrapping"/>
        <w:t xml:space="preserve"> Time: 7:09 PM – 8:09 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2o11r1ith8za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7:09 PM by Secretary Lindsay Schwarz.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s08t20d3nt9i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Roll Call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Board Members Present: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Lisa Bicknell — President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John Meyer — Vice President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Melissa Ehrlich — Treasurer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Lindsay Schwarz — Secretary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ARC Members Present: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Aaron Stein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ARC Members Absent: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Pete Bicknell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Homeowners Present: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Three (3) homeowners in attendance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ooi43668we4g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Treasury and Legal Administration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treasury operations and administrative processes related to delinquent accounts and lien enforcement.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 documentation practices, financial tracking, and general procedures associated with account management. The Board emphasized the importance of maintaining clear and consistent administrative processes.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lmuapgfvwicb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Board Operations and Capacity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current workload demands and overall board capacity.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noted that the </w:t>
      </w:r>
      <w:r w:rsidDel="00000000" w:rsidR="00000000" w:rsidRPr="00000000">
        <w:rPr>
          <w:rtl w:val="0"/>
        </w:rPr>
        <w:t xml:space="preserve">Treasurer position is currently vacant</w:t>
      </w:r>
      <w:r w:rsidDel="00000000" w:rsidR="00000000" w:rsidRPr="00000000">
        <w:rPr>
          <w:rtl w:val="0"/>
        </w:rPr>
        <w:t xml:space="preserve">, resulting in an open position to be filled. The Board also identified the need to fill the President role in preparation for the upcoming annual meeting.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the need for additional volunteer participation to support board functions and ensure continuity of operations.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eplc6hbritsr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 Budget and Dues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current budget and ongoing operational expenses, including utilities, landscaping, and maintenance.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noted that annual dues will increase from $350 to $400, as previously determined, and discussed plans to communicate this update to homeowners through upcoming invoices and notices prior to the annual meeting.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44jfy57zp7zs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VI. Governing Documents and Policy Review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general considerations related to governing documents, including bylaws, covenants, and articles of incorporation.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Topics included board composition, voting requirements, and clarification of roles and responsibilities. The Board acknowledged these matters may require further review and consideration at a future time.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22x0zj62y7z7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VII. Community Communication and Engagement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strategies to improve communication with homeowners, including: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Coordinating distribution of budget materials and voting notices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Streamlining notification processes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Increasing homeowner participation in meetings and voting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Efforts to improve clarity, efficiency, and engagement were emphasized.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lhsl23m9gwlh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VIII. Common Area Maintenance and Operations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maintenance needs and cost considerations for common areas, including landscaping, irrigation, and tree care.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Potential adjustments to maintenance practices were discussed to address rising costs and environmental factors.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jgtsxdk75uj4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IX. Community Relations and Compliance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general community matters related to rule compliance, property maintenance, and neighborhood relations.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importance of consistent enforcement, respectful communication, and maintaining community standards was emphasized.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mvnhqyz4yn84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X. Administrative Practices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procedures related to record-keeping, document requests, and administrative workload.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Options to improve efficiency, including enhanced organization and potential digital access to records, were discussed.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4qplp1tdoyqe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XI. Adjournment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being no further business, the meeting was adjourned at 8:09 PM.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20" w:lineRule="auto"/>
    </w:pPr>
    <w:rPr>
      <w:rFonts w:ascii="Tahoma" w:cs="Tahoma" w:eastAsia="Tahoma" w:hAnsi="Tahom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after="60" w:lineRule="auto"/>
    </w:pPr>
    <w:rPr>
      <w:rFonts w:ascii="Tahoma" w:cs="Tahoma" w:eastAsia="Tahoma" w:hAnsi="Tahoma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